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4"/>
        <w:rPr/>
      </w:pPr>
      <w:bookmarkStart w:colFirst="0" w:colLast="0" w:name="_9ii7o4ceba1z" w:id="0"/>
      <w:bookmarkEnd w:id="0"/>
      <w:r w:rsidDel="00000000" w:rsidR="00000000" w:rsidRPr="00000000">
        <w:rPr>
          <w:rtl w:val="0"/>
        </w:rPr>
        <w:t xml:space="preserve">1. IDENTIFICAÇÃO DA EMPRESA PROPONENTE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Preencher todos os campos abaixo: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3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225"/>
        <w:gridCol w:w="5805"/>
        <w:tblGridChange w:id="0">
          <w:tblGrid>
            <w:gridCol w:w="3225"/>
            <w:gridCol w:w="5805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Campo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Informação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Razão social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CNPJ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Endereço completo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Nome do representante legal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Cargo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Telefone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E‑mail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Banco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Agência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Observação: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o presente formulário deverá ser assinado por um representante legal. Propostas digitais podem ser assinadas eletronicamente .</w:t>
            </w:r>
          </w:p>
        </w:tc>
      </w:tr>
    </w:tbl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4"/>
        <w:rPr/>
      </w:pPr>
      <w:bookmarkStart w:colFirst="0" w:colLast="0" w:name="_bqwnl5jt8zam" w:id="1"/>
      <w:bookmarkEnd w:id="1"/>
      <w:r w:rsidDel="00000000" w:rsidR="00000000" w:rsidRPr="00000000">
        <w:rPr>
          <w:rtl w:val="0"/>
        </w:rPr>
        <w:t xml:space="preserve">2. PRAZOS E CONDIÇÕES GERAIS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Validade da proposta:</w:t>
      </w:r>
      <w:r w:rsidDel="00000000" w:rsidR="00000000" w:rsidRPr="00000000">
        <w:rPr>
          <w:rtl w:val="0"/>
        </w:rPr>
        <w:t xml:space="preserve"> 90 (noventa) dias corridos a contar da data de envio.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Garantia de mão‑de‑obra:</w:t>
      </w:r>
      <w:r w:rsidDel="00000000" w:rsidR="00000000" w:rsidRPr="00000000">
        <w:rPr>
          <w:rtl w:val="0"/>
        </w:rPr>
        <w:t xml:space="preserve"> 90 (noventa) dias após a conclusão de cada serviço. Garantias de equipamentos seguem as condições do fabricante.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Reajuste:</w:t>
      </w:r>
      <w:r w:rsidDel="00000000" w:rsidR="00000000" w:rsidRPr="00000000">
        <w:rPr>
          <w:rtl w:val="0"/>
        </w:rPr>
        <w:t xml:space="preserve"> os preços permanecerão fixos durante os primeiros 12 (doze) meses de vigência contratual, contados da assinatura do contrato. Após isso serão reajustados conforme contrato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Local de prestação dos serviços: </w:t>
      </w:r>
      <w:r w:rsidDel="00000000" w:rsidR="00000000" w:rsidRPr="00000000">
        <w:rPr>
          <w:rtl w:val="0"/>
        </w:rPr>
        <w:t xml:space="preserve">Dependências da UFJF-GV no município de Governador Valadares</w:t>
      </w:r>
    </w:p>
    <w:p w:rsidR="00000000" w:rsidDel="00000000" w:rsidP="00000000" w:rsidRDefault="00000000" w:rsidRPr="00000000" w14:paraId="00000024">
      <w:pPr>
        <w:pStyle w:val="Heading4"/>
        <w:rPr/>
      </w:pPr>
      <w:bookmarkStart w:colFirst="0" w:colLast="0" w:name="_qe7k9sdi1y4r" w:id="2"/>
      <w:bookmarkEnd w:id="2"/>
      <w:r w:rsidDel="00000000" w:rsidR="00000000" w:rsidRPr="00000000">
        <w:rPr>
          <w:rtl w:val="0"/>
        </w:rPr>
        <w:t xml:space="preserve">3. ESCOPO DOS SERVIÇOS E RESPONSABILIDADES DA EMPRESA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Incluso no valor da mão‑de‑obra</w:t>
      </w:r>
      <w:r w:rsidDel="00000000" w:rsidR="00000000" w:rsidRPr="00000000">
        <w:rPr>
          <w:rtl w:val="0"/>
        </w:rPr>
        <w:t xml:space="preserve">: ferramentas, EPIs e consumíveis de baixo custo (parafusos, fita isolante, óleo desengripante, etc.).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Ressarcimento de materiais de maior valor pela UFJF</w:t>
      </w:r>
      <w:r w:rsidDel="00000000" w:rsidR="00000000" w:rsidRPr="00000000">
        <w:rPr>
          <w:rtl w:val="0"/>
        </w:rPr>
        <w:t xml:space="preserve">: tubulações, suportes, disjuntores, cabos, gás refrigerante e itens similares serão pagos pela UFJF (CONTRATANTE) conforme a seguinte ordem de prioridade: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SINAPI</w:t>
      </w:r>
      <w:r w:rsidDel="00000000" w:rsidR="00000000" w:rsidRPr="00000000">
        <w:rPr>
          <w:rtl w:val="0"/>
        </w:rPr>
        <w:t xml:space="preserve"> – Sistema Nacional de Pesquisa de Custos e Índices da Construção Civil (tabela oficial de preços publicada pela </w:t>
      </w:r>
      <w:r w:rsidDel="00000000" w:rsidR="00000000" w:rsidRPr="00000000">
        <w:rPr>
          <w:b w:val="1"/>
          <w:rtl w:val="0"/>
        </w:rPr>
        <w:t xml:space="preserve">CAIXA Econômica Federal</w:t>
      </w:r>
      <w:r w:rsidDel="00000000" w:rsidR="00000000" w:rsidRPr="00000000">
        <w:rPr>
          <w:rtl w:val="0"/>
        </w:rPr>
        <w:t xml:space="preserve">);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SETOP‑MG</w:t>
      </w:r>
      <w:r w:rsidDel="00000000" w:rsidR="00000000" w:rsidRPr="00000000">
        <w:rPr>
          <w:rtl w:val="0"/>
        </w:rPr>
        <w:t xml:space="preserve">;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SUDECAP‑BH</w:t>
      </w:r>
      <w:r w:rsidDel="00000000" w:rsidR="00000000" w:rsidRPr="00000000">
        <w:rPr>
          <w:rtl w:val="0"/>
        </w:rPr>
        <w:t xml:space="preserve">;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Média de mercado local (quando o item não constar nas bases anteriores).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Serviços adicionais</w:t>
      </w:r>
      <w:r w:rsidDel="00000000" w:rsidR="00000000" w:rsidRPr="00000000">
        <w:rPr>
          <w:rtl w:val="0"/>
        </w:rPr>
        <w:t xml:space="preserve"> (ex.: recuperação de gesso, pintura, marcenaria, confecção de bases de alvenaria, etc.) também serão ressarcidos segundo as mesmas tabelas listadas no item 2.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Equipamentos especiais</w:t>
      </w:r>
      <w:r w:rsidDel="00000000" w:rsidR="00000000" w:rsidRPr="00000000">
        <w:rPr>
          <w:rtl w:val="0"/>
        </w:rPr>
        <w:t xml:space="preserve"> (ex.: plataformas elevatórias) também serão ressarcidos segundo as mesmas tabelas listadas no item 2.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Valores de mão‑de‑obra fixos:</w:t>
      </w:r>
      <w:r w:rsidDel="00000000" w:rsidR="00000000" w:rsidRPr="00000000">
        <w:rPr>
          <w:rtl w:val="0"/>
        </w:rPr>
        <w:t xml:space="preserve"> o custo unitário cotado para cada serviço e faixa de capacidade é </w:t>
      </w:r>
      <w:r w:rsidDel="00000000" w:rsidR="00000000" w:rsidRPr="00000000">
        <w:rPr>
          <w:b w:val="1"/>
          <w:rtl w:val="0"/>
        </w:rPr>
        <w:t xml:space="preserve">fixo</w:t>
      </w:r>
      <w:r w:rsidDel="00000000" w:rsidR="00000000" w:rsidRPr="00000000">
        <w:rPr>
          <w:rtl w:val="0"/>
        </w:rPr>
        <w:t xml:space="preserve"> e aplicável a qualquer execução durante a vigência contratual, independentemente da localização ou complexidade.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Frequência e escopo da manutenção preventiva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Periodicidade </w:t>
      </w:r>
      <w:r w:rsidDel="00000000" w:rsidR="00000000" w:rsidRPr="00000000">
        <w:rPr>
          <w:b w:val="1"/>
          <w:rtl w:val="0"/>
        </w:rPr>
        <w:t xml:space="preserve">TRIMESTRAL </w:t>
      </w:r>
      <w:r w:rsidDel="00000000" w:rsidR="00000000" w:rsidRPr="00000000">
        <w:rPr>
          <w:rtl w:val="0"/>
        </w:rPr>
        <w:t xml:space="preserve">(4 execuções/ano por equipamento).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Inclui, mas não se limita a:</w:t>
      </w:r>
    </w:p>
    <w:p w:rsidR="00000000" w:rsidDel="00000000" w:rsidP="00000000" w:rsidRDefault="00000000" w:rsidRPr="00000000" w14:paraId="00000031">
      <w:pPr>
        <w:numPr>
          <w:ilvl w:val="2"/>
          <w:numId w:val="1"/>
        </w:numPr>
        <w:ind w:left="216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Limpeza profunda das serpentinas e trocadores de calor (com retirada do evaporador, quando necessário).</w:t>
      </w:r>
    </w:p>
    <w:p w:rsidR="00000000" w:rsidDel="00000000" w:rsidP="00000000" w:rsidRDefault="00000000" w:rsidRPr="00000000" w14:paraId="00000032">
      <w:pPr>
        <w:numPr>
          <w:ilvl w:val="2"/>
          <w:numId w:val="1"/>
        </w:numPr>
        <w:ind w:left="216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Desmontagem e higienização de bandeja de condensado, dreno e conjunto ventilador.</w:t>
      </w:r>
    </w:p>
    <w:p w:rsidR="00000000" w:rsidDel="00000000" w:rsidP="00000000" w:rsidRDefault="00000000" w:rsidRPr="00000000" w14:paraId="00000033">
      <w:pPr>
        <w:numPr>
          <w:ilvl w:val="2"/>
          <w:numId w:val="1"/>
        </w:numPr>
        <w:ind w:left="216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Aferição e registro de pressões de sucção/descarga, temperaturas de insuflamento/retorno, corrente elétrica e tensão de alimentação.</w:t>
      </w:r>
    </w:p>
    <w:p w:rsidR="00000000" w:rsidDel="00000000" w:rsidP="00000000" w:rsidRDefault="00000000" w:rsidRPr="00000000" w14:paraId="00000034">
      <w:pPr>
        <w:numPr>
          <w:ilvl w:val="2"/>
          <w:numId w:val="1"/>
        </w:numPr>
        <w:ind w:left="216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Verificação e calibração de sensores, termostatos e dispositivos de segurança.</w:t>
      </w:r>
    </w:p>
    <w:p w:rsidR="00000000" w:rsidDel="00000000" w:rsidP="00000000" w:rsidRDefault="00000000" w:rsidRPr="00000000" w14:paraId="00000035">
      <w:pPr>
        <w:numPr>
          <w:ilvl w:val="2"/>
          <w:numId w:val="1"/>
        </w:numPr>
        <w:ind w:left="216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Teste de estanqueidade e reaperto de conexões elétricas e mecânicas.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Manutenção corretiva</w:t>
      </w:r>
      <w:r w:rsidDel="00000000" w:rsidR="00000000" w:rsidRPr="00000000">
        <w:rPr>
          <w:rtl w:val="0"/>
        </w:rPr>
        <w:t xml:space="preserve"> – sob demanda, conforme necessidade identificada pela UFJF.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Style w:val="Heading4"/>
        <w:rPr/>
      </w:pPr>
      <w:bookmarkStart w:colFirst="0" w:colLast="0" w:name="_2rcv847usj90" w:id="3"/>
      <w:bookmarkEnd w:id="3"/>
      <w:r w:rsidDel="00000000" w:rsidR="00000000" w:rsidRPr="00000000">
        <w:rPr>
          <w:rtl w:val="0"/>
        </w:rPr>
        <w:t xml:space="preserve">4. QUADROS DE PREÇOS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Preencha as colunas </w:t>
      </w:r>
      <w:r w:rsidDel="00000000" w:rsidR="00000000" w:rsidRPr="00000000">
        <w:rPr>
          <w:b w:val="1"/>
          <w:rtl w:val="0"/>
        </w:rPr>
        <w:t xml:space="preserve">Custo de mão de obra (R$)</w:t>
      </w:r>
      <w:r w:rsidDel="00000000" w:rsidR="00000000" w:rsidRPr="00000000">
        <w:rPr>
          <w:rtl w:val="0"/>
        </w:rPr>
        <w:t xml:space="preserve"> e </w:t>
      </w:r>
      <w:r w:rsidDel="00000000" w:rsidR="00000000" w:rsidRPr="00000000">
        <w:rPr>
          <w:b w:val="1"/>
          <w:rtl w:val="0"/>
        </w:rPr>
        <w:t xml:space="preserve">Total (R$)</w:t>
      </w:r>
      <w:r w:rsidDel="00000000" w:rsidR="00000000" w:rsidRPr="00000000">
        <w:rPr>
          <w:rtl w:val="0"/>
        </w:rPr>
        <w:t xml:space="preserve">. </w:t>
      </w:r>
      <w:r w:rsidDel="00000000" w:rsidR="00000000" w:rsidRPr="00000000">
        <w:rPr>
          <w:b w:val="1"/>
          <w:rtl w:val="0"/>
        </w:rPr>
        <w:t xml:space="preserve">Importante:</w:t>
      </w:r>
      <w:r w:rsidDel="00000000" w:rsidR="00000000" w:rsidRPr="00000000">
        <w:rPr>
          <w:rtl w:val="0"/>
        </w:rPr>
        <w:t xml:space="preserve"> o custo unitário informado será fixo para cada tipo de serviço, conforme item 3.5.</w:t>
      </w:r>
    </w:p>
    <w:p w:rsidR="00000000" w:rsidDel="00000000" w:rsidP="00000000" w:rsidRDefault="00000000" w:rsidRPr="00000000" w14:paraId="0000003B">
      <w:pPr>
        <w:spacing w:after="120" w:before="120" w:lineRule="auto"/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245.0" w:type="dxa"/>
        <w:jc w:val="left"/>
        <w:tblInd w:w="-790.0" w:type="dxa"/>
        <w:tblLayout w:type="fixed"/>
        <w:tblLook w:val="0600"/>
      </w:tblPr>
      <w:tblGrid>
        <w:gridCol w:w="495"/>
        <w:gridCol w:w="3660"/>
        <w:gridCol w:w="1365"/>
        <w:gridCol w:w="1200"/>
        <w:gridCol w:w="1470"/>
        <w:gridCol w:w="750"/>
        <w:gridCol w:w="1305"/>
        <w:tblGridChange w:id="0">
          <w:tblGrid>
            <w:gridCol w:w="495"/>
            <w:gridCol w:w="3660"/>
            <w:gridCol w:w="1365"/>
            <w:gridCol w:w="1200"/>
            <w:gridCol w:w="1470"/>
            <w:gridCol w:w="750"/>
            <w:gridCol w:w="1305"/>
          </w:tblGrid>
        </w:tblGridChange>
      </w:tblGrid>
      <w:tr>
        <w:trPr>
          <w:cantSplit w:val="0"/>
          <w:trHeight w:val="525.6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bottom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bottom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Descrição do serviço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bottom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Especificação do equipamento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bottom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Percentual de desconto (%)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bottom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Valor unitário com desconto (R$)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bottom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Qt. exec.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bottom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Valor total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.6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Instalação e assentamento de ar condicionado – somente mão de obra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9000 a 18000 Btu/h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.6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Instalação e assentamento de ar condicionado – somente mão de obra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20000 a 26000 Btu/h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.6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Instalação e assentamento de ar condicionado – somente mão de obra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30000 a 36000 Btu/h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.6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Instalação e assentamento de ar condicionado – somente mão de obra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48000 a 60000 Btu/h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.6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Manutenção preventiva/corretiva de equipamentos - somente mão de obra</w:t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9000 a 18000 Btu/h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110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.6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Manutenção preventiva/corretiva de equipamentos - somente mão de obra</w:t>
            </w:r>
          </w:p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20000 a 26000 Btu/h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.6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Manutenção preventiva/corretiva de equipamentos - somente mão de obra</w:t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30000 a 36000 Btu/h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.6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Manutenção preventiva/corretiva de equipamentos - somente mão de obra</w:t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48000 a 60000 Btu/h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.6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Análise da qualidade do ar conforme NBR17037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.6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Reserva financeira para insumos e serviços*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-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R$ 39.290,00</w:t>
            </w:r>
          </w:p>
        </w:tc>
      </w:tr>
    </w:tbl>
    <w:p w:rsidR="00000000" w:rsidDel="00000000" w:rsidP="00000000" w:rsidRDefault="00000000" w:rsidRPr="00000000" w14:paraId="0000008D">
      <w:pPr>
        <w:spacing w:after="120" w:before="120" w:lineRule="auto"/>
        <w:ind w:left="-810" w:firstLine="0"/>
        <w:jc w:val="both"/>
        <w:rPr>
          <w:i w:val="1"/>
          <w:sz w:val="18"/>
          <w:szCs w:val="18"/>
          <w:shd w:fill="f1c232" w:val="clear"/>
        </w:rPr>
      </w:pPr>
      <w:r w:rsidDel="00000000" w:rsidR="00000000" w:rsidRPr="00000000">
        <w:rPr>
          <w:i w:val="1"/>
          <w:sz w:val="18"/>
          <w:szCs w:val="18"/>
          <w:shd w:fill="f1c232" w:val="clear"/>
          <w:rtl w:val="0"/>
        </w:rPr>
        <w:t xml:space="preserve">*O item 10 se trata de reserva financeira utilizada para custeio de insumos e serviços complementares durante o contrato, por isso não deve receber lances</w:t>
      </w:r>
    </w:p>
    <w:p w:rsidR="00000000" w:rsidDel="00000000" w:rsidP="00000000" w:rsidRDefault="00000000" w:rsidRPr="00000000" w14:paraId="0000008E">
      <w:pPr>
        <w:spacing w:after="120" w:before="120" w:lineRule="auto"/>
        <w:ind w:left="-810" w:firstLine="0"/>
        <w:jc w:val="both"/>
        <w:rPr>
          <w:i w:val="1"/>
          <w:sz w:val="18"/>
          <w:szCs w:val="18"/>
          <w:shd w:fill="f1c232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Style w:val="Heading4"/>
        <w:rPr>
          <w:i w:val="1"/>
          <w:sz w:val="18"/>
          <w:szCs w:val="18"/>
          <w:shd w:fill="f1c232" w:val="clear"/>
        </w:rPr>
      </w:pPr>
      <w:bookmarkStart w:colFirst="0" w:colLast="0" w:name="_qbblgvnx2kyl" w:id="4"/>
      <w:bookmarkEnd w:id="4"/>
      <w:r w:rsidDel="00000000" w:rsidR="00000000" w:rsidRPr="00000000">
        <w:rPr>
          <w:rtl w:val="0"/>
        </w:rPr>
        <w:t xml:space="preserve">5. DECLARAÇÃO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Declaro que examinei todos os documentos do edital, aceitei suas condições e disponho dos recursos necessários para a execução integral do objeto.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jc w:val="center"/>
        <w:rPr/>
      </w:pPr>
      <w:r w:rsidDel="00000000" w:rsidR="00000000" w:rsidRPr="00000000">
        <w:rPr>
          <w:rtl w:val="0"/>
        </w:rPr>
        <w:t xml:space="preserve">____________________________________  </w:t>
      </w:r>
    </w:p>
    <w:p w:rsidR="00000000" w:rsidDel="00000000" w:rsidP="00000000" w:rsidRDefault="00000000" w:rsidRPr="00000000" w14:paraId="0000009B">
      <w:pPr>
        <w:jc w:val="center"/>
        <w:rPr>
          <w:i w:val="1"/>
          <w:sz w:val="18"/>
          <w:szCs w:val="18"/>
          <w:shd w:fill="f1c232" w:val="clear"/>
        </w:rPr>
      </w:pPr>
      <w:r w:rsidDel="00000000" w:rsidR="00000000" w:rsidRPr="00000000">
        <w:rPr>
          <w:rtl w:val="0"/>
        </w:rPr>
        <w:t xml:space="preserve">Assinatura do representante legal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after="120" w:before="120" w:lineRule="auto"/>
        <w:ind w:left="-810" w:firstLine="0"/>
        <w:jc w:val="both"/>
        <w:rPr>
          <w:i w:val="1"/>
          <w:sz w:val="18"/>
          <w:szCs w:val="18"/>
          <w:shd w:fill="f1c232" w:val="clear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133.8582677165355" w:top="1700.7874015748032" w:left="1700.7874015748032" w:right="1133.8582677165355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F">
    <w:pPr>
      <w:tabs>
        <w:tab w:val="center" w:leader="none" w:pos="4252"/>
        <w:tab w:val="right" w:leader="none" w:pos="8504"/>
      </w:tabs>
      <w:spacing w:line="240" w:lineRule="auto"/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  <w:t xml:space="preserve"> de 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D">
    <w:pPr>
      <w:spacing w:line="240" w:lineRule="auto"/>
      <w:ind w:left="720" w:firstLine="0"/>
      <w:jc w:val="center"/>
      <w:rPr>
        <w:b w:val="1"/>
        <w:sz w:val="20"/>
        <w:szCs w:val="20"/>
      </w:rPr>
    </w:pPr>
    <w:r w:rsidDel="00000000" w:rsidR="00000000" w:rsidRPr="00000000">
      <w:rPr>
        <w:b w:val="1"/>
        <w:sz w:val="20"/>
        <w:szCs w:val="20"/>
        <w:rtl w:val="0"/>
      </w:rPr>
      <w:t xml:space="preserve">PROPOSTA DE PREÇOS À UNIVERSIDADE FEDERAL DE JUIZ DE FORA - CAMPUS GOVERNADOR VALADARES</w:t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4095750</wp:posOffset>
          </wp:positionH>
          <wp:positionV relativeFrom="paragraph">
            <wp:posOffset>-219072</wp:posOffset>
          </wp:positionV>
          <wp:extent cx="2077537" cy="631846"/>
          <wp:effectExtent b="0" l="0" r="0" t="0"/>
          <wp:wrapSquare wrapText="bothSides" distB="114300" distT="114300" distL="114300" distR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077537" cy="63184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9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40.0" w:type="dxa"/>
        <w:left w:w="40.0" w:type="dxa"/>
        <w:bottom w:w="40.0" w:type="dxa"/>
        <w:right w:w="4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